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C621E" w14:textId="5968CF1E" w:rsidR="00572E84" w:rsidRDefault="00572E84" w:rsidP="00572E84">
      <w:pPr>
        <w:jc w:val="center"/>
        <w:rPr>
          <w:b/>
          <w:sz w:val="32"/>
        </w:rPr>
      </w:pPr>
    </w:p>
    <w:tbl>
      <w:tblPr>
        <w:tblpPr w:leftFromText="180" w:rightFromText="180" w:vertAnchor="page" w:horzAnchor="margin" w:tblpY="260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7968"/>
      </w:tblGrid>
      <w:tr w:rsidR="00572E84" w:rsidRPr="0072032F" w14:paraId="01297A25" w14:textId="77777777" w:rsidTr="007E7794">
        <w:trPr>
          <w:trHeight w:val="432"/>
        </w:trPr>
        <w:tc>
          <w:tcPr>
            <w:tcW w:w="9493" w:type="dxa"/>
            <w:gridSpan w:val="2"/>
            <w:shd w:val="clear" w:color="auto" w:fill="auto"/>
            <w:noWrap/>
            <w:vAlign w:val="center"/>
            <w:hideMark/>
          </w:tcPr>
          <w:p w14:paraId="370D0E3D" w14:textId="3304D2D0" w:rsidR="00572E84" w:rsidRDefault="00872C65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  <w:t>The International Classification of Orofacial Pain (ICOP) – going forward</w:t>
            </w:r>
          </w:p>
          <w:p w14:paraId="0AE7FEDF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E1226" w:rsidRPr="0072032F" w14:paraId="7751A5F2" w14:textId="77777777" w:rsidTr="007E7794">
        <w:trPr>
          <w:trHeight w:val="432"/>
        </w:trPr>
        <w:tc>
          <w:tcPr>
            <w:tcW w:w="9493" w:type="dxa"/>
            <w:gridSpan w:val="2"/>
            <w:shd w:val="clear" w:color="auto" w:fill="auto"/>
            <w:noWrap/>
            <w:vAlign w:val="center"/>
          </w:tcPr>
          <w:p w14:paraId="79C0DFAB" w14:textId="1BB7B220" w:rsidR="006E1226" w:rsidRPr="0072032F" w:rsidRDefault="00F00CA5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Wednesday November 10</w:t>
            </w:r>
            <w:r w:rsidR="00FA7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="00A56C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2021,</w:t>
            </w:r>
            <w:r w:rsidR="00FA7D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11:00AM UTC</w:t>
            </w:r>
          </w:p>
        </w:tc>
      </w:tr>
      <w:tr w:rsidR="00572E84" w:rsidRPr="0072032F" w14:paraId="3645466C" w14:textId="77777777" w:rsidTr="007E7794">
        <w:trPr>
          <w:trHeight w:val="432"/>
        </w:trPr>
        <w:tc>
          <w:tcPr>
            <w:tcW w:w="9493" w:type="dxa"/>
            <w:gridSpan w:val="2"/>
            <w:shd w:val="clear" w:color="auto" w:fill="auto"/>
            <w:noWrap/>
            <w:vAlign w:val="center"/>
          </w:tcPr>
          <w:p w14:paraId="2F3F9BB5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203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Organizing 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</w:t>
            </w:r>
            <w:r w:rsidRPr="0072032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oup/SIG</w:t>
            </w:r>
            <w:r w:rsidR="005D611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</w:t>
            </w:r>
            <w:r w:rsidR="00872C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Orofacial and Head Pain</w:t>
            </w:r>
          </w:p>
        </w:tc>
      </w:tr>
      <w:tr w:rsidR="005D6118" w:rsidRPr="0072032F" w14:paraId="3DFA0193" w14:textId="77777777" w:rsidTr="007E7794">
        <w:trPr>
          <w:trHeight w:val="432"/>
        </w:trPr>
        <w:tc>
          <w:tcPr>
            <w:tcW w:w="9493" w:type="dxa"/>
            <w:gridSpan w:val="2"/>
            <w:shd w:val="clear" w:color="auto" w:fill="auto"/>
            <w:noWrap/>
            <w:vAlign w:val="center"/>
          </w:tcPr>
          <w:p w14:paraId="1AAB7025" w14:textId="77777777" w:rsidR="005D6118" w:rsidRPr="0072032F" w:rsidRDefault="005D6118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Chair/Organizer’s Name:</w:t>
            </w:r>
            <w:r w:rsidR="00872C6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Lene Baad-Hansen</w:t>
            </w:r>
          </w:p>
        </w:tc>
      </w:tr>
      <w:tr w:rsidR="00572E84" w:rsidRPr="0072032F" w14:paraId="1F46A12A" w14:textId="77777777" w:rsidTr="007E7794">
        <w:trPr>
          <w:trHeight w:val="1088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ED7" w14:textId="32B7A6F3" w:rsidR="00572E84" w:rsidRPr="0072032F" w:rsidRDefault="00872C65" w:rsidP="00504D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The </w:t>
            </w:r>
            <w:hyperlink r:id="rId7" w:history="1">
              <w:r w:rsidRPr="00804D26">
                <w:rPr>
                  <w:rStyle w:val="Hyperlink"/>
                  <w:rFonts w:ascii="Calibri" w:eastAsia="Times New Roman" w:hAnsi="Calibri" w:cs="Calibri"/>
                  <w:sz w:val="24"/>
                  <w:szCs w:val="24"/>
                </w:rPr>
                <w:t>International Classification of Orofacial Pain (ICOP)</w:t>
              </w:r>
            </w:hyperlink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was published in Cephalalgia early 2020 after a collaborative effort between several organizations with expertise in orofacial pain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headed by the Orofacial and Head Pain SIG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. 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This </w:t>
            </w:r>
            <w:r w:rsidR="00AA6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interactive 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symposium provides 1. The overall background for </w:t>
            </w:r>
            <w:r w:rsidR="00774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and 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development of ICOP</w:t>
            </w:r>
            <w:r w:rsidR="00AA656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2. A presentation of a novel diagnostic category </w:t>
            </w:r>
            <w:r w:rsidR="003C290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into OFP classification; </w:t>
            </w:r>
            <w:r w:rsidR="0006405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3. </w:t>
            </w:r>
            <w:r w:rsidR="00774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What´s in it for clinicians</w:t>
            </w:r>
            <w:r w:rsidR="002F0862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;</w:t>
            </w:r>
            <w:r w:rsidR="00774E7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4. Live Q &amp; A with symposium speakers</w:t>
            </w:r>
            <w:r w:rsidR="00504D0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E84" w:rsidRPr="0072032F" w14:paraId="4363CC44" w14:textId="77777777" w:rsidTr="007E7794">
        <w:trPr>
          <w:trHeight w:val="432"/>
        </w:trPr>
        <w:tc>
          <w:tcPr>
            <w:tcW w:w="1525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73A180AD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68" w:type="dxa"/>
            <w:tcBorders>
              <w:top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14:paraId="15D26470" w14:textId="77777777" w:rsidR="00572E84" w:rsidRPr="0072032F" w:rsidRDefault="005D6118" w:rsidP="009C5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Symposium Outline (75 Minutes)</w:t>
            </w:r>
            <w:r w:rsidR="00572E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72E84" w:rsidRPr="0072032F" w14:paraId="00DED1E1" w14:textId="77777777" w:rsidTr="007E7794">
        <w:trPr>
          <w:trHeight w:val="432"/>
        </w:trPr>
        <w:tc>
          <w:tcPr>
            <w:tcW w:w="1525" w:type="dxa"/>
            <w:vMerge w:val="restart"/>
            <w:shd w:val="clear" w:color="auto" w:fill="auto"/>
            <w:noWrap/>
            <w:vAlign w:val="center"/>
            <w:hideMark/>
          </w:tcPr>
          <w:p w14:paraId="66A033A7" w14:textId="15C8DA0E" w:rsidR="00572E84" w:rsidRPr="0072032F" w:rsidRDefault="006C2392" w:rsidP="005D61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5D6118">
              <w:rPr>
                <w:rFonts w:ascii="Calibri" w:eastAsia="Times New Roman" w:hAnsi="Calibri" w:cs="Calibri"/>
                <w:b/>
                <w:color w:val="000000"/>
              </w:rPr>
              <w:t xml:space="preserve"> minutes</w:t>
            </w: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2AEA7D8A" w14:textId="77777777" w:rsidR="00572E84" w:rsidRPr="0072032F" w:rsidRDefault="005D6118" w:rsidP="0077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Presentation </w:t>
            </w:r>
            <w:r w:rsidR="00EA37B0">
              <w:rPr>
                <w:rFonts w:ascii="Calibri" w:eastAsia="Times New Roman" w:hAnsi="Calibri" w:cs="Calibri"/>
                <w:color w:val="000000"/>
              </w:rPr>
              <w:t xml:space="preserve">1: </w:t>
            </w:r>
            <w:r w:rsidR="00774E71">
              <w:rPr>
                <w:rFonts w:ascii="Calibri" w:eastAsia="Times New Roman" w:hAnsi="Calibri" w:cs="Calibri"/>
                <w:color w:val="000000"/>
              </w:rPr>
              <w:t>The road to ICOP</w:t>
            </w:r>
          </w:p>
        </w:tc>
      </w:tr>
      <w:tr w:rsidR="00572E84" w:rsidRPr="0072032F" w14:paraId="774F7FDA" w14:textId="77777777" w:rsidTr="007E7794">
        <w:trPr>
          <w:trHeight w:val="432"/>
        </w:trPr>
        <w:tc>
          <w:tcPr>
            <w:tcW w:w="1525" w:type="dxa"/>
            <w:vMerge/>
            <w:vAlign w:val="center"/>
            <w:hideMark/>
          </w:tcPr>
          <w:p w14:paraId="7F2667CC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7F68ECC0" w14:textId="77777777" w:rsidR="00572E84" w:rsidRPr="0072032F" w:rsidRDefault="00572E84" w:rsidP="00774E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72032F">
              <w:rPr>
                <w:rFonts w:ascii="Calibri" w:eastAsia="Times New Roman" w:hAnsi="Calibri" w:cs="Calibri"/>
                <w:i/>
                <w:color w:val="000000"/>
              </w:rPr>
              <w:t xml:space="preserve">Speaker 1: </w:t>
            </w:r>
            <w:r w:rsidR="00774E71">
              <w:rPr>
                <w:rFonts w:ascii="Calibri" w:eastAsia="Times New Roman" w:hAnsi="Calibri" w:cs="Calibri"/>
                <w:i/>
                <w:color w:val="000000"/>
              </w:rPr>
              <w:t>Peter Svensson, Denmark</w:t>
            </w:r>
          </w:p>
        </w:tc>
      </w:tr>
      <w:tr w:rsidR="00572E84" w:rsidRPr="0072032F" w14:paraId="664DE973" w14:textId="77777777" w:rsidTr="007E7794">
        <w:trPr>
          <w:trHeight w:val="432"/>
        </w:trPr>
        <w:tc>
          <w:tcPr>
            <w:tcW w:w="1525" w:type="dxa"/>
            <w:vMerge w:val="restart"/>
            <w:shd w:val="clear" w:color="auto" w:fill="auto"/>
            <w:noWrap/>
            <w:vAlign w:val="center"/>
            <w:hideMark/>
          </w:tcPr>
          <w:p w14:paraId="3FE8C302" w14:textId="48889C98" w:rsidR="00572E84" w:rsidRPr="00555A96" w:rsidRDefault="006C2392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5D6118">
              <w:rPr>
                <w:rFonts w:ascii="Calibri" w:eastAsia="Times New Roman" w:hAnsi="Calibri" w:cs="Calibri"/>
                <w:b/>
                <w:color w:val="000000"/>
              </w:rPr>
              <w:t xml:space="preserve"> minutes</w:t>
            </w: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5F8E0475" w14:textId="77777777" w:rsidR="00572E84" w:rsidRPr="0072032F" w:rsidRDefault="005D6118" w:rsidP="0077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Presentation </w:t>
            </w:r>
            <w:r w:rsidR="00572E84">
              <w:rPr>
                <w:rFonts w:ascii="Calibri" w:eastAsia="Times New Roman" w:hAnsi="Calibri" w:cs="Calibri"/>
                <w:color w:val="000000"/>
              </w:rPr>
              <w:t xml:space="preserve">2: </w:t>
            </w:r>
            <w:r w:rsidR="00774E71">
              <w:rPr>
                <w:rFonts w:ascii="Calibri" w:eastAsia="Times New Roman" w:hAnsi="Calibri" w:cs="Calibri"/>
                <w:color w:val="000000"/>
              </w:rPr>
              <w:t xml:space="preserve">Orofacial pain resembling primary headaches </w:t>
            </w:r>
          </w:p>
        </w:tc>
      </w:tr>
      <w:tr w:rsidR="00572E84" w:rsidRPr="00774E71" w14:paraId="38B30F06" w14:textId="77777777" w:rsidTr="007E7794">
        <w:trPr>
          <w:trHeight w:val="432"/>
        </w:trPr>
        <w:tc>
          <w:tcPr>
            <w:tcW w:w="1525" w:type="dxa"/>
            <w:vMerge/>
            <w:vAlign w:val="center"/>
            <w:hideMark/>
          </w:tcPr>
          <w:p w14:paraId="5601BEA9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1BFC4A17" w14:textId="77777777" w:rsidR="00572E84" w:rsidRPr="00774E71" w:rsidRDefault="00572E84" w:rsidP="00774E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  <w:lang w:val="da-DK"/>
              </w:rPr>
            </w:pPr>
            <w:r w:rsidRPr="00774E71">
              <w:rPr>
                <w:rFonts w:ascii="Calibri" w:eastAsia="Times New Roman" w:hAnsi="Calibri" w:cs="Calibri"/>
                <w:i/>
                <w:color w:val="000000"/>
                <w:lang w:val="da-DK"/>
              </w:rPr>
              <w:t xml:space="preserve">Speaker 2: </w:t>
            </w:r>
            <w:r w:rsidR="00774E71" w:rsidRPr="00774E71">
              <w:rPr>
                <w:rFonts w:ascii="Calibri" w:eastAsia="Times New Roman" w:hAnsi="Calibri" w:cs="Calibri"/>
                <w:i/>
                <w:color w:val="000000"/>
                <w:lang w:val="da-DK"/>
              </w:rPr>
              <w:t>Rafael Benoliel, USA/I</w:t>
            </w:r>
            <w:r w:rsidR="00774E71">
              <w:rPr>
                <w:rFonts w:ascii="Calibri" w:eastAsia="Times New Roman" w:hAnsi="Calibri" w:cs="Calibri"/>
                <w:i/>
                <w:color w:val="000000"/>
                <w:lang w:val="da-DK"/>
              </w:rPr>
              <w:t>srael</w:t>
            </w:r>
          </w:p>
        </w:tc>
      </w:tr>
      <w:tr w:rsidR="00572E84" w:rsidRPr="0072032F" w14:paraId="7CF7DE39" w14:textId="77777777" w:rsidTr="007E7794">
        <w:trPr>
          <w:trHeight w:val="432"/>
        </w:trPr>
        <w:tc>
          <w:tcPr>
            <w:tcW w:w="1525" w:type="dxa"/>
            <w:vMerge w:val="restart"/>
            <w:shd w:val="clear" w:color="auto" w:fill="auto"/>
            <w:noWrap/>
            <w:vAlign w:val="center"/>
            <w:hideMark/>
          </w:tcPr>
          <w:p w14:paraId="48543BA3" w14:textId="7AE35716" w:rsidR="00572E84" w:rsidRPr="005D6118" w:rsidRDefault="006C2392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5D6118">
              <w:rPr>
                <w:rFonts w:ascii="Calibri" w:eastAsia="Times New Roman" w:hAnsi="Calibri" w:cs="Calibri"/>
                <w:b/>
                <w:color w:val="000000"/>
              </w:rPr>
              <w:t xml:space="preserve"> minutes</w:t>
            </w: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6280A99D" w14:textId="77777777" w:rsidR="00572E84" w:rsidRPr="0072032F" w:rsidRDefault="005D6118" w:rsidP="00774E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Presentation</w:t>
            </w:r>
            <w:r w:rsidR="00572E8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3: </w:t>
            </w:r>
            <w:r w:rsidR="00774E71">
              <w:rPr>
                <w:rFonts w:ascii="Calibri" w:eastAsia="Times New Roman" w:hAnsi="Calibri" w:cs="Calibri"/>
                <w:color w:val="000000"/>
              </w:rPr>
              <w:t xml:space="preserve">What´s in it for clinicians? </w:t>
            </w:r>
          </w:p>
        </w:tc>
      </w:tr>
      <w:tr w:rsidR="00572E84" w:rsidRPr="0072032F" w14:paraId="211FCABF" w14:textId="77777777" w:rsidTr="007E7794">
        <w:trPr>
          <w:trHeight w:val="432"/>
        </w:trPr>
        <w:tc>
          <w:tcPr>
            <w:tcW w:w="1525" w:type="dxa"/>
            <w:vMerge/>
            <w:vAlign w:val="center"/>
            <w:hideMark/>
          </w:tcPr>
          <w:p w14:paraId="4C152A04" w14:textId="77777777" w:rsidR="00572E84" w:rsidRPr="0072032F" w:rsidRDefault="00572E84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968" w:type="dxa"/>
            <w:shd w:val="clear" w:color="auto" w:fill="auto"/>
            <w:noWrap/>
            <w:vAlign w:val="center"/>
            <w:hideMark/>
          </w:tcPr>
          <w:p w14:paraId="62F9B84A" w14:textId="77777777" w:rsidR="00572E84" w:rsidRPr="0072032F" w:rsidRDefault="00572E84" w:rsidP="00774E71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 w:rsidRPr="0072032F">
              <w:rPr>
                <w:rFonts w:ascii="Calibri" w:eastAsia="Times New Roman" w:hAnsi="Calibri" w:cs="Calibri"/>
                <w:i/>
                <w:color w:val="000000"/>
              </w:rPr>
              <w:t xml:space="preserve">Speaker 3: </w:t>
            </w:r>
            <w:r w:rsidR="00774E71">
              <w:rPr>
                <w:rFonts w:ascii="Calibri" w:eastAsia="Times New Roman" w:hAnsi="Calibri" w:cs="Calibri"/>
                <w:i/>
                <w:color w:val="000000"/>
              </w:rPr>
              <w:t>Maria Pigg, Sweden</w:t>
            </w:r>
          </w:p>
        </w:tc>
      </w:tr>
      <w:tr w:rsidR="005D6118" w:rsidRPr="0072032F" w14:paraId="462424B0" w14:textId="77777777" w:rsidTr="007E7794">
        <w:trPr>
          <w:trHeight w:val="432"/>
        </w:trPr>
        <w:tc>
          <w:tcPr>
            <w:tcW w:w="1525" w:type="dxa"/>
            <w:vAlign w:val="center"/>
          </w:tcPr>
          <w:p w14:paraId="5BB1CF63" w14:textId="4C5BD1BE" w:rsidR="005D6118" w:rsidRPr="006F3AFD" w:rsidRDefault="006E1226" w:rsidP="00572E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  <w:r w:rsidR="005D6118" w:rsidRPr="006F3AF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minutes</w:t>
            </w:r>
          </w:p>
        </w:tc>
        <w:tc>
          <w:tcPr>
            <w:tcW w:w="7968" w:type="dxa"/>
            <w:shd w:val="clear" w:color="auto" w:fill="auto"/>
            <w:noWrap/>
            <w:vAlign w:val="center"/>
          </w:tcPr>
          <w:p w14:paraId="4F6DE62D" w14:textId="77777777" w:rsidR="005D6118" w:rsidRPr="0072032F" w:rsidRDefault="005D6118" w:rsidP="005D6118">
            <w:pPr>
              <w:spacing w:after="0" w:line="240" w:lineRule="auto"/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LIVE Q&amp;A</w:t>
            </w:r>
          </w:p>
        </w:tc>
      </w:tr>
    </w:tbl>
    <w:p w14:paraId="73A053B1" w14:textId="77777777" w:rsidR="00992F11" w:rsidRDefault="00992F11" w:rsidP="00572E84">
      <w:pPr>
        <w:rPr>
          <w:b/>
          <w:sz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D878EE" w14:paraId="719CA114" w14:textId="77777777" w:rsidTr="007E7794">
        <w:tc>
          <w:tcPr>
            <w:tcW w:w="2405" w:type="dxa"/>
            <w:tcBorders>
              <w:right w:val="nil"/>
            </w:tcBorders>
          </w:tcPr>
          <w:p w14:paraId="37F74497" w14:textId="77777777" w:rsidR="00D878EE" w:rsidRPr="00992F11" w:rsidRDefault="00D878EE" w:rsidP="00992F11">
            <w:pPr>
              <w:rPr>
                <w:b/>
                <w:sz w:val="24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240F14C5" w14:textId="0FB6FF3B" w:rsidR="00D878EE" w:rsidRPr="00D878EE" w:rsidRDefault="00D878EE" w:rsidP="00992F11">
            <w:pPr>
              <w:rPr>
                <w:b/>
                <w:bCs/>
                <w:sz w:val="24"/>
              </w:rPr>
            </w:pPr>
            <w:r w:rsidRPr="00D878EE">
              <w:rPr>
                <w:b/>
                <w:bCs/>
                <w:sz w:val="24"/>
              </w:rPr>
              <w:t>Upon completion of this session, attendees will</w:t>
            </w:r>
            <w:r>
              <w:rPr>
                <w:b/>
                <w:bCs/>
                <w:sz w:val="24"/>
              </w:rPr>
              <w:t>…</w:t>
            </w:r>
          </w:p>
        </w:tc>
      </w:tr>
      <w:tr w:rsidR="00992F11" w14:paraId="02D39791" w14:textId="77777777" w:rsidTr="007E7794">
        <w:tc>
          <w:tcPr>
            <w:tcW w:w="2405" w:type="dxa"/>
          </w:tcPr>
          <w:p w14:paraId="60FF100C" w14:textId="77777777" w:rsidR="00992F11" w:rsidRPr="00992F11" w:rsidRDefault="00992F11" w:rsidP="00992F11">
            <w:pPr>
              <w:rPr>
                <w:b/>
                <w:sz w:val="24"/>
              </w:rPr>
            </w:pPr>
            <w:r w:rsidRPr="00992F11">
              <w:rPr>
                <w:b/>
                <w:sz w:val="24"/>
              </w:rPr>
              <w:t>Learning Objective 1:</w:t>
            </w:r>
          </w:p>
        </w:tc>
        <w:tc>
          <w:tcPr>
            <w:tcW w:w="7088" w:type="dxa"/>
          </w:tcPr>
          <w:p w14:paraId="34177440" w14:textId="77777777" w:rsidR="00992F11" w:rsidRDefault="0038491C" w:rsidP="00992F11">
            <w:pPr>
              <w:rPr>
                <w:sz w:val="24"/>
              </w:rPr>
            </w:pPr>
            <w:r>
              <w:rPr>
                <w:sz w:val="24"/>
              </w:rPr>
              <w:t>K</w:t>
            </w:r>
            <w:r w:rsidR="00774E71">
              <w:rPr>
                <w:sz w:val="24"/>
              </w:rPr>
              <w:t xml:space="preserve">now the </w:t>
            </w:r>
            <w:r>
              <w:rPr>
                <w:sz w:val="24"/>
              </w:rPr>
              <w:t xml:space="preserve">purpose of and </w:t>
            </w:r>
            <w:r w:rsidR="00774E71">
              <w:rPr>
                <w:sz w:val="24"/>
              </w:rPr>
              <w:t>background for development of the ICOP</w:t>
            </w:r>
          </w:p>
        </w:tc>
      </w:tr>
      <w:tr w:rsidR="00992F11" w14:paraId="13948ABD" w14:textId="77777777" w:rsidTr="007E7794">
        <w:tc>
          <w:tcPr>
            <w:tcW w:w="2405" w:type="dxa"/>
          </w:tcPr>
          <w:p w14:paraId="0A6A40C3" w14:textId="77777777" w:rsidR="00992F11" w:rsidRPr="00992F11" w:rsidRDefault="00992F11" w:rsidP="00992F11">
            <w:pPr>
              <w:rPr>
                <w:b/>
                <w:sz w:val="24"/>
              </w:rPr>
            </w:pPr>
            <w:r w:rsidRPr="00992F11">
              <w:rPr>
                <w:b/>
                <w:sz w:val="24"/>
              </w:rPr>
              <w:t>Learning Objective 2:</w:t>
            </w:r>
          </w:p>
        </w:tc>
        <w:tc>
          <w:tcPr>
            <w:tcW w:w="7088" w:type="dxa"/>
          </w:tcPr>
          <w:p w14:paraId="29433D54" w14:textId="77777777" w:rsidR="00992F11" w:rsidRDefault="00774E71" w:rsidP="00992F11">
            <w:pPr>
              <w:rPr>
                <w:sz w:val="24"/>
              </w:rPr>
            </w:pPr>
            <w:r>
              <w:rPr>
                <w:sz w:val="24"/>
              </w:rPr>
              <w:t>Recognize orofacial pain resembling primary headaches</w:t>
            </w:r>
          </w:p>
        </w:tc>
      </w:tr>
      <w:tr w:rsidR="00992F11" w14:paraId="34227E16" w14:textId="77777777" w:rsidTr="007E7794">
        <w:tc>
          <w:tcPr>
            <w:tcW w:w="2405" w:type="dxa"/>
          </w:tcPr>
          <w:p w14:paraId="449B26F9" w14:textId="77777777" w:rsidR="00992F11" w:rsidRPr="00992F11" w:rsidRDefault="00992F11" w:rsidP="00992F11">
            <w:pPr>
              <w:rPr>
                <w:b/>
                <w:sz w:val="24"/>
              </w:rPr>
            </w:pPr>
            <w:r w:rsidRPr="00992F11">
              <w:rPr>
                <w:b/>
                <w:sz w:val="24"/>
              </w:rPr>
              <w:t>Learning Objective 3:</w:t>
            </w:r>
          </w:p>
        </w:tc>
        <w:tc>
          <w:tcPr>
            <w:tcW w:w="7088" w:type="dxa"/>
          </w:tcPr>
          <w:p w14:paraId="0F330A65" w14:textId="77777777" w:rsidR="00992F11" w:rsidRDefault="0038491C" w:rsidP="00992F11">
            <w:pPr>
              <w:rPr>
                <w:sz w:val="24"/>
              </w:rPr>
            </w:pPr>
            <w:r>
              <w:rPr>
                <w:sz w:val="24"/>
              </w:rPr>
              <w:t xml:space="preserve">Know about </w:t>
            </w:r>
            <w:r w:rsidR="001E6004">
              <w:rPr>
                <w:sz w:val="24"/>
              </w:rPr>
              <w:t>implementation efforts of ICOP</w:t>
            </w:r>
          </w:p>
        </w:tc>
      </w:tr>
    </w:tbl>
    <w:p w14:paraId="2062D149" w14:textId="77777777" w:rsidR="00572E84" w:rsidRPr="00992F11" w:rsidRDefault="00572E84" w:rsidP="00992F11">
      <w:pPr>
        <w:rPr>
          <w:sz w:val="24"/>
        </w:rPr>
      </w:pPr>
    </w:p>
    <w:sectPr w:rsidR="00572E84" w:rsidRPr="00992F11" w:rsidSect="000F2519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0MDAwtDQyMDAxNrRQ0lEKTi0uzszPAykwqgUAZ227+SwAAAA="/>
  </w:docVars>
  <w:rsids>
    <w:rsidRoot w:val="0072032F"/>
    <w:rsid w:val="00064056"/>
    <w:rsid w:val="000F2519"/>
    <w:rsid w:val="00113635"/>
    <w:rsid w:val="001E6004"/>
    <w:rsid w:val="002F0862"/>
    <w:rsid w:val="002F182C"/>
    <w:rsid w:val="00343E8E"/>
    <w:rsid w:val="0038491C"/>
    <w:rsid w:val="003953A1"/>
    <w:rsid w:val="003C2902"/>
    <w:rsid w:val="004944B3"/>
    <w:rsid w:val="00504D0D"/>
    <w:rsid w:val="00555A96"/>
    <w:rsid w:val="00572E84"/>
    <w:rsid w:val="005A50EF"/>
    <w:rsid w:val="005D6118"/>
    <w:rsid w:val="0060389A"/>
    <w:rsid w:val="006C2392"/>
    <w:rsid w:val="006E1226"/>
    <w:rsid w:val="006F3AFD"/>
    <w:rsid w:val="0072032F"/>
    <w:rsid w:val="00774E71"/>
    <w:rsid w:val="007E7794"/>
    <w:rsid w:val="007F0B7B"/>
    <w:rsid w:val="00804D26"/>
    <w:rsid w:val="00872C65"/>
    <w:rsid w:val="00992F11"/>
    <w:rsid w:val="009C5A22"/>
    <w:rsid w:val="00A56C01"/>
    <w:rsid w:val="00AA6566"/>
    <w:rsid w:val="00C457F1"/>
    <w:rsid w:val="00C61A86"/>
    <w:rsid w:val="00D878EE"/>
    <w:rsid w:val="00DF141D"/>
    <w:rsid w:val="00E32FD8"/>
    <w:rsid w:val="00E60866"/>
    <w:rsid w:val="00EA37B0"/>
    <w:rsid w:val="00F00CA5"/>
    <w:rsid w:val="00F468E3"/>
    <w:rsid w:val="00FA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5827"/>
  <w15:chartTrackingRefBased/>
  <w15:docId w15:val="{A50078DF-2016-434F-AFEE-54B4344D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2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4D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journals.sagepub.com/doi/10.1177/03331024198938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836BC33D1E5846BD77C269C61838DB" ma:contentTypeVersion="10" ma:contentTypeDescription="Opret et nyt dokument." ma:contentTypeScope="" ma:versionID="b3bf9cabcde5869288e301ab52ea6adb">
  <xsd:schema xmlns:xsd="http://www.w3.org/2001/XMLSchema" xmlns:xs="http://www.w3.org/2001/XMLSchema" xmlns:p="http://schemas.microsoft.com/office/2006/metadata/properties" xmlns:ns3="f659a008-7c21-4ee3-a745-e38581e13101" targetNamespace="http://schemas.microsoft.com/office/2006/metadata/properties" ma:root="true" ma:fieldsID="238432cdea83ca459e828c7afb5a37d2" ns3:_="">
    <xsd:import namespace="f659a008-7c21-4ee3-a745-e38581e131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9a008-7c21-4ee3-a745-e38581e131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0ABFE3-8EF3-4983-BCAD-8013A90C80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A3E916-C68C-4B4F-A366-020C842F6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9a008-7c21-4ee3-a745-e38581e131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E7BFC7-BD47-46E3-B364-6536A6D85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Peters</dc:creator>
  <cp:keywords/>
  <dc:description/>
  <cp:lastModifiedBy>Christopher Peck</cp:lastModifiedBy>
  <cp:revision>2</cp:revision>
  <cp:lastPrinted>2019-03-27T17:24:00Z</cp:lastPrinted>
  <dcterms:created xsi:type="dcterms:W3CDTF">2021-10-14T00:15:00Z</dcterms:created>
  <dcterms:modified xsi:type="dcterms:W3CDTF">2021-10-14T00:15:00Z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0x01010056836BC33D1E5846BD77C269C61838DB</vt:lpwstr>
  </property>
</Properties>
</file>